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3EAA7" w14:textId="65B54475" w:rsidR="00A11AB6" w:rsidRDefault="00A11AB6" w:rsidP="0089660D">
      <w:pPr>
        <w:spacing w:after="0"/>
      </w:pPr>
      <w:r>
        <w:t>STATEMENT FROM PETER KINDER REGARDING THE FORCED SEATING OF A TRANSGENDER WOMAN ON THE CHRISTIAN COUNTY CENTRAL COMMITTEE</w:t>
      </w:r>
    </w:p>
    <w:p w14:paraId="0032E65A" w14:textId="5E6F7438" w:rsidR="00A11AB6" w:rsidRDefault="00A11AB6" w:rsidP="0089660D">
      <w:pPr>
        <w:spacing w:after="0"/>
      </w:pPr>
      <w:r w:rsidRPr="00A11AB6">
        <w:br/>
        <w:t>---------- Forwarded message ---------</w:t>
      </w:r>
      <w:r w:rsidRPr="00A11AB6">
        <w:br/>
        <w:t xml:space="preserve">From: </w:t>
      </w:r>
      <w:r w:rsidRPr="00A11AB6">
        <w:rPr>
          <w:b/>
          <w:bCs/>
        </w:rPr>
        <w:t>Missouri Republican Party</w:t>
      </w:r>
      <w:r w:rsidRPr="00A11AB6">
        <w:t xml:space="preserve"> &lt;</w:t>
      </w:r>
      <w:hyperlink r:id="rId4" w:tooltip="mailto:info@mogop.org" w:history="1">
        <w:r w:rsidRPr="00A11AB6">
          <w:rPr>
            <w:rStyle w:val="Hyperlink"/>
          </w:rPr>
          <w:t>info@mogop.org</w:t>
        </w:r>
      </w:hyperlink>
      <w:r w:rsidRPr="00A11AB6">
        <w:t>&gt;</w:t>
      </w:r>
      <w:r w:rsidRPr="00A11AB6">
        <w:br/>
        <w:t>Date: Wed, Sep 16, 2026, 1:58 PM</w:t>
      </w:r>
      <w:r w:rsidRPr="00A11AB6">
        <w:br/>
        <w:t>Subject: Statement from Chairman Peter Kinder on Central Committee Candidate Eligibility</w:t>
      </w:r>
    </w:p>
    <w:p w14:paraId="3B27FA79" w14:textId="0409ED8A" w:rsidR="00A11AB6" w:rsidRDefault="00A11AB6" w:rsidP="00A11AB6">
      <w:r w:rsidRPr="00A11AB6">
        <w:drawing>
          <wp:inline distT="0" distB="0" distL="0" distR="0" wp14:anchorId="0BEA85DA" wp14:editId="7572FB22">
            <wp:extent cx="5943600" cy="5445760"/>
            <wp:effectExtent l="0" t="0" r="0" b="2540"/>
            <wp:docPr id="13909220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922079" name=""/>
                    <pic:cNvPicPr/>
                  </pic:nvPicPr>
                  <pic:blipFill>
                    <a:blip r:embed="rId5"/>
                    <a:stretch>
                      <a:fillRect/>
                    </a:stretch>
                  </pic:blipFill>
                  <pic:spPr>
                    <a:xfrm>
                      <a:off x="0" y="0"/>
                      <a:ext cx="5943600" cy="5445760"/>
                    </a:xfrm>
                    <a:prstGeom prst="rect">
                      <a:avLst/>
                    </a:prstGeom>
                  </pic:spPr>
                </pic:pic>
              </a:graphicData>
            </a:graphic>
          </wp:inline>
        </w:drawing>
      </w:r>
      <w:r>
        <w:br w:type="page"/>
      </w:r>
    </w:p>
    <w:p w14:paraId="1F6796E5" w14:textId="52325E16" w:rsidR="00F03772" w:rsidRDefault="00F03772" w:rsidP="00F03772">
      <w:pPr>
        <w:spacing w:after="0"/>
      </w:pPr>
      <w:r>
        <w:lastRenderedPageBreak/>
        <w:t>Mr. Don Carriker, Jr., Chairman</w:t>
      </w:r>
    </w:p>
    <w:p w14:paraId="64149339" w14:textId="77777777" w:rsidR="00F03772" w:rsidRDefault="00F03772" w:rsidP="00F03772">
      <w:pPr>
        <w:spacing w:after="0"/>
      </w:pPr>
      <w:r>
        <w:t>Christian County Republican Central Committee</w:t>
      </w:r>
    </w:p>
    <w:p w14:paraId="0460EF37" w14:textId="77777777" w:rsidR="00F03772" w:rsidRDefault="00F03772" w:rsidP="00F03772">
      <w:pPr>
        <w:spacing w:after="0"/>
      </w:pPr>
      <w:r>
        <w:t>Via e-mail</w:t>
      </w:r>
    </w:p>
    <w:p w14:paraId="15C5CDFA" w14:textId="77777777" w:rsidR="00F03772" w:rsidRDefault="00F03772" w:rsidP="00F03772">
      <w:pPr>
        <w:spacing w:after="0"/>
      </w:pPr>
      <w:r>
        <w:t>Dear Chairman Carriker:</w:t>
      </w:r>
    </w:p>
    <w:p w14:paraId="197C6B21" w14:textId="77777777" w:rsidR="00F03772" w:rsidRDefault="00F03772" w:rsidP="00F03772">
      <w:pPr>
        <w:spacing w:after="0"/>
      </w:pPr>
    </w:p>
    <w:p w14:paraId="607B9DC0" w14:textId="77777777" w:rsidR="00F03772" w:rsidRDefault="00F03772" w:rsidP="00F03772">
      <w:pPr>
        <w:spacing w:after="0"/>
      </w:pPr>
      <w:r>
        <w:t xml:space="preserve">You have asked for my opinion concerning the legal status of the Christian </w:t>
      </w:r>
    </w:p>
    <w:p w14:paraId="015FB5DB" w14:textId="77777777" w:rsidR="00F03772" w:rsidRDefault="00F03772" w:rsidP="00F03772">
      <w:pPr>
        <w:spacing w:after="0"/>
      </w:pPr>
      <w:r>
        <w:t xml:space="preserve">County Republican Central Committee and its authority to determine whether </w:t>
      </w:r>
    </w:p>
    <w:p w14:paraId="4FD043A3" w14:textId="77777777" w:rsidR="00F03772" w:rsidRDefault="00F03772" w:rsidP="00F03772">
      <w:pPr>
        <w:spacing w:after="0"/>
      </w:pPr>
      <w:r>
        <w:t xml:space="preserve">people elected as committeemen or committeewomen satisfy the Committee’s </w:t>
      </w:r>
    </w:p>
    <w:p w14:paraId="03BF9D16" w14:textId="77777777" w:rsidR="00F03772" w:rsidRDefault="00F03772" w:rsidP="00F03772">
      <w:pPr>
        <w:spacing w:after="0"/>
      </w:pPr>
      <w:r>
        <w:t xml:space="preserve">membership requirements. I have reviewed Chapter 115, </w:t>
      </w:r>
      <w:proofErr w:type="spellStart"/>
      <w:r>
        <w:t>R.S.Mo</w:t>
      </w:r>
      <w:proofErr w:type="spellEnd"/>
      <w:r>
        <w:t xml:space="preserve">., the Committee’s </w:t>
      </w:r>
    </w:p>
    <w:p w14:paraId="68F9FDE7" w14:textId="77777777" w:rsidR="00F03772" w:rsidRDefault="00F03772" w:rsidP="00F03772">
      <w:pPr>
        <w:spacing w:after="0"/>
      </w:pPr>
      <w:r>
        <w:t xml:space="preserve">bylaws, its minutes from March through May 2026, its adopted 2026 credentialing </w:t>
      </w:r>
    </w:p>
    <w:p w14:paraId="598E6780" w14:textId="77777777" w:rsidR="00F03772" w:rsidRDefault="00F03772" w:rsidP="00F03772">
      <w:pPr>
        <w:spacing w:after="0"/>
      </w:pPr>
      <w:r>
        <w:t xml:space="preserve">guidelines, the Missouri Republican Party’s 2026 Reorganization Handbook, and </w:t>
      </w:r>
    </w:p>
    <w:p w14:paraId="47257882" w14:textId="77777777" w:rsidR="00F03772" w:rsidRDefault="00F03772" w:rsidP="00F03772">
      <w:pPr>
        <w:spacing w:after="0"/>
      </w:pPr>
      <w:r>
        <w:t>relevant case law.</w:t>
      </w:r>
    </w:p>
    <w:p w14:paraId="39738AAD" w14:textId="77777777" w:rsidR="00F03772" w:rsidRDefault="00F03772" w:rsidP="00F03772">
      <w:pPr>
        <w:spacing w:after="0"/>
      </w:pPr>
    </w:p>
    <w:p w14:paraId="038CF95C" w14:textId="683AF91C" w:rsidR="00F03772" w:rsidRDefault="00F03772" w:rsidP="00F03772">
      <w:pPr>
        <w:spacing w:after="0"/>
      </w:pPr>
      <w:r>
        <w:t xml:space="preserve">The law of Missouri establishes that the Committee is a private political </w:t>
      </w:r>
    </w:p>
    <w:p w14:paraId="5246E1A3" w14:textId="77777777" w:rsidR="00F03772" w:rsidRDefault="00F03772" w:rsidP="00F03772">
      <w:pPr>
        <w:spacing w:after="0"/>
      </w:pPr>
      <w:r>
        <w:t xml:space="preserve">association and that its members are private party officers, not public officers. </w:t>
      </w:r>
    </w:p>
    <w:p w14:paraId="044B124B" w14:textId="77777777" w:rsidR="00F03772" w:rsidRDefault="00F03772" w:rsidP="00F03772">
      <w:pPr>
        <w:spacing w:after="0"/>
      </w:pPr>
      <w:r>
        <w:t xml:space="preserve">Section 115.605, </w:t>
      </w:r>
      <w:proofErr w:type="spellStart"/>
      <w:r>
        <w:t>R.S.Mo</w:t>
      </w:r>
      <w:proofErr w:type="spellEnd"/>
      <w:r>
        <w:t xml:space="preserve">., provides that a party committee exists to represent and </w:t>
      </w:r>
    </w:p>
    <w:p w14:paraId="4F09862F" w14:textId="77777777" w:rsidR="00F03772" w:rsidRDefault="00F03772" w:rsidP="00F03772">
      <w:pPr>
        <w:spacing w:after="0"/>
      </w:pPr>
      <w:r>
        <w:t xml:space="preserve">act for the political party between conventions. Because its members represent the </w:t>
      </w:r>
    </w:p>
    <w:p w14:paraId="3B6DA918" w14:textId="77777777" w:rsidR="00F03772" w:rsidRDefault="00F03772" w:rsidP="00F03772">
      <w:pPr>
        <w:spacing w:after="0"/>
      </w:pPr>
      <w:r>
        <w:t xml:space="preserve">party rather than the public and exercise no sovereign governmental power, the </w:t>
      </w:r>
    </w:p>
    <w:p w14:paraId="78FCC665" w14:textId="77777777" w:rsidR="00F03772" w:rsidRDefault="00F03772" w:rsidP="00F03772">
      <w:pPr>
        <w:spacing w:after="0"/>
      </w:pPr>
      <w:r>
        <w:t xml:space="preserve">Missouri Court of Appeals determined that a political party committeeman does not </w:t>
      </w:r>
    </w:p>
    <w:p w14:paraId="1454183D" w14:textId="77777777" w:rsidR="00F03772" w:rsidRDefault="00F03772" w:rsidP="00F03772">
      <w:pPr>
        <w:spacing w:after="0"/>
      </w:pPr>
      <w:r>
        <w:t xml:space="preserve">hold an “elective public office.” State ex rel. McCulloch v. Hoskins, 978 S.W.2d 779, </w:t>
      </w:r>
    </w:p>
    <w:p w14:paraId="7932A643" w14:textId="77777777" w:rsidR="00F03772" w:rsidRDefault="00F03772" w:rsidP="00F03772">
      <w:pPr>
        <w:spacing w:after="0"/>
      </w:pPr>
      <w:r>
        <w:t xml:space="preserve">782-85 (Mo. App. E.D. 1998). The Supreme Court of Missouri reaffirmed that </w:t>
      </w:r>
    </w:p>
    <w:p w14:paraId="27214AD5" w14:textId="77777777" w:rsidR="00F03772" w:rsidRDefault="00F03772" w:rsidP="00F03772">
      <w:pPr>
        <w:spacing w:after="0"/>
      </w:pPr>
      <w:r>
        <w:t xml:space="preserve">conclusion and recognized that political parties’ rights to govern themselves receive </w:t>
      </w:r>
    </w:p>
    <w:p w14:paraId="434095D6" w14:textId="77777777" w:rsidR="00F03772" w:rsidRDefault="00F03772" w:rsidP="00F03772">
      <w:pPr>
        <w:spacing w:after="0"/>
      </w:pPr>
      <w:r>
        <w:t xml:space="preserve">First Amendment protection. State ex rel. </w:t>
      </w:r>
      <w:proofErr w:type="spellStart"/>
      <w:r>
        <w:t>Tompras</w:t>
      </w:r>
      <w:proofErr w:type="spellEnd"/>
      <w:r>
        <w:t xml:space="preserve"> v. Bd. of Election Comm’rs, 136 </w:t>
      </w:r>
    </w:p>
    <w:p w14:paraId="1FC0FF05" w14:textId="77777777" w:rsidR="00F03772" w:rsidRDefault="00F03772" w:rsidP="00F03772">
      <w:pPr>
        <w:spacing w:after="0"/>
      </w:pPr>
      <w:r>
        <w:t>S.W.3d 65, 66-67 (Mo. banc 2004).</w:t>
      </w:r>
    </w:p>
    <w:p w14:paraId="7DCBC535" w14:textId="77777777" w:rsidR="00F03772" w:rsidRDefault="00F03772" w:rsidP="00F03772">
      <w:pPr>
        <w:spacing w:after="0"/>
      </w:pPr>
    </w:p>
    <w:p w14:paraId="4A043935" w14:textId="77777777" w:rsidR="00F03772" w:rsidRDefault="00F03772" w:rsidP="00F03772">
      <w:pPr>
        <w:spacing w:after="0"/>
      </w:pPr>
      <w:r>
        <w:t xml:space="preserve">Chapter 115 establishes the procedure by which committeemen and </w:t>
      </w:r>
    </w:p>
    <w:p w14:paraId="1F1390A8" w14:textId="77777777" w:rsidR="00F03772" w:rsidRDefault="00F03772" w:rsidP="00F03772">
      <w:pPr>
        <w:spacing w:after="0"/>
      </w:pPr>
      <w:r>
        <w:t xml:space="preserve">committeewomen are elected, but election alone does not establish membership. </w:t>
      </w:r>
    </w:p>
    <w:p w14:paraId="4CA12DCF" w14:textId="77777777" w:rsidR="00F03772" w:rsidRDefault="00F03772" w:rsidP="00F03772">
      <w:pPr>
        <w:spacing w:after="0"/>
      </w:pPr>
      <w:r>
        <w:t xml:space="preserve">Section 115.613.1, </w:t>
      </w:r>
      <w:proofErr w:type="spellStart"/>
      <w:r>
        <w:t>R.S.Mo</w:t>
      </w:r>
      <w:proofErr w:type="spellEnd"/>
      <w:r>
        <w:t xml:space="preserve">., provides that the “qualified” man and woman receiving </w:t>
      </w:r>
    </w:p>
    <w:p w14:paraId="5E67418D" w14:textId="77777777" w:rsidR="00F03772" w:rsidRDefault="00F03772" w:rsidP="00F03772">
      <w:pPr>
        <w:spacing w:after="0"/>
      </w:pPr>
      <w:r>
        <w:t xml:space="preserve">the highest number of votes “shall be members” of the county committee. The </w:t>
      </w:r>
    </w:p>
    <w:p w14:paraId="3A4AB8E2" w14:textId="77777777" w:rsidR="00F03772" w:rsidRDefault="00F03772" w:rsidP="00F03772">
      <w:pPr>
        <w:spacing w:after="0"/>
      </w:pPr>
      <w:r>
        <w:t xml:space="preserve">statute distinguishes between winning an election and being qualified for </w:t>
      </w:r>
    </w:p>
    <w:p w14:paraId="5FA376D7" w14:textId="77777777" w:rsidR="00F03772" w:rsidRDefault="00F03772" w:rsidP="00F03772">
      <w:pPr>
        <w:spacing w:after="0"/>
      </w:pPr>
      <w:r>
        <w:t xml:space="preserve">membership. It does not provide that an unqualified person becomes a member </w:t>
      </w:r>
    </w:p>
    <w:p w14:paraId="1D12ED8D" w14:textId="77777777" w:rsidR="00F03772" w:rsidRDefault="00F03772" w:rsidP="00F03772">
      <w:pPr>
        <w:spacing w:after="0"/>
      </w:pPr>
      <w:r>
        <w:t>merely by receiving the most votes.</w:t>
      </w:r>
    </w:p>
    <w:p w14:paraId="0FCBD3AC" w14:textId="77777777" w:rsidR="00F03772" w:rsidRDefault="00F03772" w:rsidP="00F03772">
      <w:pPr>
        <w:spacing w:after="0"/>
      </w:pPr>
    </w:p>
    <w:p w14:paraId="7A2FECB9" w14:textId="77777777" w:rsidR="00F03772" w:rsidRDefault="00F03772" w:rsidP="00F03772">
      <w:pPr>
        <w:spacing w:after="0"/>
      </w:pPr>
      <w:r>
        <w:t xml:space="preserve">Section 115.627, </w:t>
      </w:r>
      <w:proofErr w:type="spellStart"/>
      <w:r>
        <w:t>R.S.Mo</w:t>
      </w:r>
      <w:proofErr w:type="spellEnd"/>
      <w:r>
        <w:t xml:space="preserve">., in turn, authorizes each party committee to adopt </w:t>
      </w:r>
    </w:p>
    <w:p w14:paraId="15DEEC60" w14:textId="77777777" w:rsidR="00F03772" w:rsidRDefault="00F03772" w:rsidP="00F03772">
      <w:pPr>
        <w:spacing w:after="0"/>
      </w:pPr>
      <w:r>
        <w:t>bylaws governing its organization. The Committee’s bylaws implement its</w:t>
      </w:r>
      <w:r>
        <w:t xml:space="preserve"> </w:t>
      </w:r>
      <w:r>
        <w:t xml:space="preserve">authority to determine membership qualifications by defining its membership and </w:t>
      </w:r>
    </w:p>
    <w:p w14:paraId="241ECEFB" w14:textId="77777777" w:rsidR="00F03772" w:rsidRDefault="00F03772" w:rsidP="00F03772">
      <w:pPr>
        <w:spacing w:after="0"/>
      </w:pPr>
      <w:r>
        <w:t xml:space="preserve">prescribing the qualifications necessary to become a member. In Christian </w:t>
      </w:r>
    </w:p>
    <w:p w14:paraId="4CF73E30" w14:textId="77777777" w:rsidR="00F03772" w:rsidRDefault="00F03772" w:rsidP="00F03772">
      <w:pPr>
        <w:spacing w:after="0"/>
      </w:pPr>
      <w:r>
        <w:t xml:space="preserve">County’s bylaws, those qualifications include Republican affiliation, demonstrated </w:t>
      </w:r>
    </w:p>
    <w:p w14:paraId="44198A75" w14:textId="77777777" w:rsidR="00F03772" w:rsidRDefault="00F03772" w:rsidP="00F03772">
      <w:pPr>
        <w:spacing w:after="0"/>
      </w:pPr>
      <w:r>
        <w:lastRenderedPageBreak/>
        <w:t xml:space="preserve">loyalty to the Republican Party and the principles stated in its platform, and </w:t>
      </w:r>
    </w:p>
    <w:p w14:paraId="22E18E3C" w14:textId="77777777" w:rsidR="00F03772" w:rsidRDefault="00F03772" w:rsidP="00F03772">
      <w:pPr>
        <w:spacing w:after="0"/>
      </w:pPr>
      <w:r>
        <w:t xml:space="preserve">satisfaction of the criteria established by the Credentials Subcommittee. A person </w:t>
      </w:r>
    </w:p>
    <w:p w14:paraId="421A6492" w14:textId="77777777" w:rsidR="00F03772" w:rsidRDefault="00F03772" w:rsidP="00F03772">
      <w:pPr>
        <w:spacing w:after="0"/>
      </w:pPr>
      <w:r>
        <w:t xml:space="preserve">who has not satisfied those requirements has not become a “qualified” person </w:t>
      </w:r>
    </w:p>
    <w:p w14:paraId="0991078A" w14:textId="77777777" w:rsidR="00F03772" w:rsidRDefault="00F03772" w:rsidP="00F03772">
      <w:pPr>
        <w:spacing w:after="0"/>
      </w:pPr>
      <w:r>
        <w:t>entitled to membership under § 115.613.1.</w:t>
      </w:r>
    </w:p>
    <w:p w14:paraId="5A963FA3" w14:textId="77777777" w:rsidR="00F03772" w:rsidRDefault="00F03772" w:rsidP="00F03772">
      <w:pPr>
        <w:spacing w:after="0"/>
      </w:pPr>
    </w:p>
    <w:p w14:paraId="1BDAEC16" w14:textId="77777777" w:rsidR="00F03772" w:rsidRDefault="00F03772" w:rsidP="00F03772">
      <w:pPr>
        <w:spacing w:after="0"/>
      </w:pPr>
      <w:r>
        <w:t>On March 17, 2026, the Committee voted 19 to 6 to adopt the credentialing</w:t>
      </w:r>
    </w:p>
    <w:p w14:paraId="389FCF40" w14:textId="77777777" w:rsidR="00F03772" w:rsidRDefault="00F03772" w:rsidP="00F03772">
      <w:pPr>
        <w:spacing w:after="0"/>
      </w:pPr>
      <w:r>
        <w:t xml:space="preserve">process recommended by the Credentials Committee, with one proposed </w:t>
      </w:r>
    </w:p>
    <w:p w14:paraId="65DE9A1F" w14:textId="77777777" w:rsidR="00F03772" w:rsidRDefault="00F03772" w:rsidP="00F03772">
      <w:pPr>
        <w:spacing w:after="0"/>
      </w:pPr>
      <w:r>
        <w:t xml:space="preserve">requirement removed. The process the Committee adopted provides that the </w:t>
      </w:r>
    </w:p>
    <w:p w14:paraId="27CB893B" w14:textId="77777777" w:rsidR="00F03772" w:rsidRDefault="00F03772" w:rsidP="00F03772">
      <w:pPr>
        <w:spacing w:after="0"/>
      </w:pPr>
      <w:r>
        <w:t xml:space="preserve">Credentials Committee will make an adverse recommendation concerning any </w:t>
      </w:r>
    </w:p>
    <w:p w14:paraId="465C5A79" w14:textId="77777777" w:rsidR="00F03772" w:rsidRDefault="00F03772" w:rsidP="00F03772">
      <w:pPr>
        <w:spacing w:after="0"/>
      </w:pPr>
      <w:r>
        <w:t>candidate who refuses credentialing or fails any applicable requirement. It allows</w:t>
      </w:r>
    </w:p>
    <w:p w14:paraId="6007BD14" w14:textId="77777777" w:rsidR="00F03772" w:rsidRDefault="00F03772" w:rsidP="00F03772">
      <w:pPr>
        <w:spacing w:after="0"/>
      </w:pPr>
      <w:r>
        <w:t xml:space="preserve">the affected candidate to appeal in writing and appear before the full Committee, </w:t>
      </w:r>
    </w:p>
    <w:p w14:paraId="23EDA267" w14:textId="77777777" w:rsidR="00F03772" w:rsidRDefault="00F03772" w:rsidP="00F03772">
      <w:pPr>
        <w:spacing w:after="0"/>
      </w:pPr>
      <w:r>
        <w:t xml:space="preserve">which may override the recommendation by majority vote. So, by prescribing a </w:t>
      </w:r>
    </w:p>
    <w:p w14:paraId="6E7BFFBD" w14:textId="77777777" w:rsidR="00F03772" w:rsidRDefault="00F03772" w:rsidP="00F03772">
      <w:pPr>
        <w:spacing w:after="0"/>
      </w:pPr>
      <w:r>
        <w:t xml:space="preserve">Committee vote only when an affected candidate appeals and seeks to override the </w:t>
      </w:r>
    </w:p>
    <w:p w14:paraId="260EE9F3" w14:textId="77777777" w:rsidR="00F03772" w:rsidRDefault="00F03772" w:rsidP="00F03772">
      <w:pPr>
        <w:spacing w:after="0"/>
      </w:pPr>
      <w:r>
        <w:t xml:space="preserve">recommendation, the adopted process does not require another vote merely to give </w:t>
      </w:r>
    </w:p>
    <w:p w14:paraId="2531E586" w14:textId="77777777" w:rsidR="00F03772" w:rsidRDefault="00F03772" w:rsidP="00F03772">
      <w:pPr>
        <w:spacing w:after="0"/>
      </w:pPr>
      <w:r>
        <w:t>effect to an un-appealed recommendation by the Credentials Committee.</w:t>
      </w:r>
    </w:p>
    <w:p w14:paraId="18C8432F" w14:textId="77777777" w:rsidR="00F03772" w:rsidRDefault="00F03772" w:rsidP="00F03772">
      <w:pPr>
        <w:spacing w:after="0"/>
      </w:pPr>
    </w:p>
    <w:p w14:paraId="063EFBC8" w14:textId="77777777" w:rsidR="00F03772" w:rsidRDefault="00F03772" w:rsidP="00F03772">
      <w:pPr>
        <w:spacing w:after="0"/>
      </w:pPr>
      <w:r>
        <w:t xml:space="preserve">That construction also follows from the First Amendment. Political parties, </w:t>
      </w:r>
    </w:p>
    <w:p w14:paraId="394DE0AD" w14:textId="77777777" w:rsidR="00F03772" w:rsidRDefault="00F03772" w:rsidP="00F03772">
      <w:pPr>
        <w:spacing w:after="0"/>
      </w:pPr>
      <w:r>
        <w:t xml:space="preserve">including county party committees, possess a constitutionally protected right to </w:t>
      </w:r>
    </w:p>
    <w:p w14:paraId="7BB12F73" w14:textId="77777777" w:rsidR="00F03772" w:rsidRDefault="00F03772" w:rsidP="00F03772">
      <w:pPr>
        <w:spacing w:after="0"/>
      </w:pPr>
      <w:r>
        <w:t xml:space="preserve">govern themselves, identify the people who constitute the association, and </w:t>
      </w:r>
    </w:p>
    <w:p w14:paraId="5776507A" w14:textId="77777777" w:rsidR="00F03772" w:rsidRDefault="00F03772" w:rsidP="00F03772">
      <w:pPr>
        <w:spacing w:after="0"/>
      </w:pPr>
      <w:r>
        <w:t xml:space="preserve">determine the identity and selection of their leaders. Eu v. S.F. </w:t>
      </w:r>
      <w:proofErr w:type="spellStart"/>
      <w:r>
        <w:t>Cnty</w:t>
      </w:r>
      <w:proofErr w:type="spellEnd"/>
      <w:r>
        <w:t xml:space="preserve">. Democratic </w:t>
      </w:r>
    </w:p>
    <w:p w14:paraId="70FA4257" w14:textId="77777777" w:rsidR="00F03772" w:rsidRDefault="00F03772" w:rsidP="00F03772">
      <w:pPr>
        <w:spacing w:after="0"/>
      </w:pPr>
      <w:r>
        <w:t xml:space="preserve">Cent. </w:t>
      </w:r>
      <w:proofErr w:type="spellStart"/>
      <w:r>
        <w:t>Cmte</w:t>
      </w:r>
      <w:proofErr w:type="spellEnd"/>
      <w:r>
        <w:t xml:space="preserve">., 489 U.S. 214, 224, 229-33 (1989). The State may prescribe laws </w:t>
      </w:r>
    </w:p>
    <w:p w14:paraId="4BD004A2" w14:textId="77777777" w:rsidR="00F03772" w:rsidRDefault="00F03772" w:rsidP="00F03772">
      <w:pPr>
        <w:spacing w:after="0"/>
      </w:pPr>
      <w:r>
        <w:t xml:space="preserve">regulating the mechanics of an election, but it may not compel a political party to </w:t>
      </w:r>
    </w:p>
    <w:p w14:paraId="064E8C9A" w14:textId="77777777" w:rsidR="00F03772" w:rsidRDefault="00F03772" w:rsidP="00F03772">
      <w:pPr>
        <w:spacing w:after="0"/>
      </w:pPr>
      <w:r>
        <w:t xml:space="preserve">accept as one of its leaders a person who the party determines does not share its </w:t>
      </w:r>
    </w:p>
    <w:p w14:paraId="0E74A9F1" w14:textId="77777777" w:rsidR="00F03772" w:rsidRDefault="00F03772" w:rsidP="00F03772">
      <w:pPr>
        <w:spacing w:after="0"/>
      </w:pPr>
      <w:r>
        <w:t xml:space="preserve">principles or satisfy its membership requirements. Any contrary construction of </w:t>
      </w:r>
    </w:p>
    <w:p w14:paraId="2CA84CA8" w14:textId="77777777" w:rsidR="00F03772" w:rsidRDefault="00F03772" w:rsidP="00F03772">
      <w:pPr>
        <w:spacing w:after="0"/>
      </w:pPr>
      <w:r>
        <w:t xml:space="preserve">Chapter 115 would subordinate the Committee’s constitutionally protected </w:t>
      </w:r>
    </w:p>
    <w:p w14:paraId="4F919528" w14:textId="77777777" w:rsidR="00F03772" w:rsidRDefault="00F03772" w:rsidP="00F03772">
      <w:pPr>
        <w:spacing w:after="0"/>
      </w:pPr>
      <w:r>
        <w:t xml:space="preserve">associational rights to the election procedure and would directly conflict with the </w:t>
      </w:r>
    </w:p>
    <w:p w14:paraId="1F140E5A" w14:textId="77777777" w:rsidR="00F03772" w:rsidRDefault="00F03772" w:rsidP="00F03772">
      <w:pPr>
        <w:spacing w:after="0"/>
      </w:pPr>
      <w:r>
        <w:t>U.S. Supreme Court’s decision in Eu.</w:t>
      </w:r>
    </w:p>
    <w:p w14:paraId="4CDF1C5B" w14:textId="77777777" w:rsidR="00F03772" w:rsidRDefault="00F03772" w:rsidP="00F03772">
      <w:pPr>
        <w:spacing w:after="0"/>
      </w:pPr>
    </w:p>
    <w:p w14:paraId="5F775EF9" w14:textId="77777777" w:rsidR="00F03772" w:rsidRDefault="00F03772" w:rsidP="00F03772">
      <w:pPr>
        <w:spacing w:after="0"/>
      </w:pPr>
      <w:r>
        <w:t>Therefore, it is my opinion that the Committee may decline to seat any</w:t>
      </w:r>
    </w:p>
    <w:p w14:paraId="01834CDA" w14:textId="77777777" w:rsidR="00F03772" w:rsidRDefault="00F03772" w:rsidP="00F03772">
      <w:pPr>
        <w:spacing w:after="0"/>
      </w:pPr>
      <w:r>
        <w:t xml:space="preserve">elected committeeman or committeewoman who has been given an opportunity to </w:t>
      </w:r>
    </w:p>
    <w:p w14:paraId="25280B3B" w14:textId="77777777" w:rsidR="00F03772" w:rsidRDefault="00F03772" w:rsidP="00F03772">
      <w:pPr>
        <w:spacing w:after="0"/>
      </w:pPr>
      <w:r>
        <w:t xml:space="preserve">establish compliance with the Committee’s bylaws but has failed or refused to do so. </w:t>
      </w:r>
    </w:p>
    <w:p w14:paraId="0C43AD94" w14:textId="77777777" w:rsidR="00F03772" w:rsidRDefault="00F03772" w:rsidP="00F03772">
      <w:pPr>
        <w:spacing w:after="0"/>
      </w:pPr>
      <w:r>
        <w:t xml:space="preserve">When the Credentials Committee has made an adverse recommendation under the </w:t>
      </w:r>
    </w:p>
    <w:p w14:paraId="1B66CF43" w14:textId="77777777" w:rsidR="00F03772" w:rsidRDefault="00F03772" w:rsidP="00F03772">
      <w:pPr>
        <w:spacing w:after="0"/>
      </w:pPr>
      <w:r>
        <w:t xml:space="preserve">process adopted on March 17, 2026, no additional vote is required unless the </w:t>
      </w:r>
    </w:p>
    <w:p w14:paraId="5229F9EB" w14:textId="77777777" w:rsidR="00F03772" w:rsidRDefault="00F03772" w:rsidP="00F03772">
      <w:pPr>
        <w:spacing w:after="0"/>
      </w:pPr>
      <w:r>
        <w:t xml:space="preserve">affected person appeals in writing and appears before the Committee. If no appeal </w:t>
      </w:r>
    </w:p>
    <w:p w14:paraId="2F6593E3" w14:textId="77777777" w:rsidR="00F03772" w:rsidRDefault="00F03772" w:rsidP="00F03772">
      <w:pPr>
        <w:spacing w:after="0"/>
      </w:pPr>
      <w:r>
        <w:t xml:space="preserve">is taken, the recommendation remains effective, and the person may be omitted </w:t>
      </w:r>
    </w:p>
    <w:p w14:paraId="66E72FA6" w14:textId="77777777" w:rsidR="00F03772" w:rsidRDefault="00F03772" w:rsidP="00F03772">
      <w:pPr>
        <w:spacing w:after="0"/>
      </w:pPr>
      <w:r>
        <w:t xml:space="preserve">from the Committee’s membership roll. If the person appeals, the Committee may </w:t>
      </w:r>
    </w:p>
    <w:p w14:paraId="4E1BD862" w14:textId="77777777" w:rsidR="00F03772" w:rsidRDefault="00F03772" w:rsidP="00F03772">
      <w:pPr>
        <w:spacing w:after="0"/>
      </w:pPr>
      <w:r>
        <w:t xml:space="preserve">override the recommendation by majority vote. Any membership determination not </w:t>
      </w:r>
    </w:p>
    <w:p w14:paraId="1D4902B8" w14:textId="77777777" w:rsidR="00F03772" w:rsidRDefault="00F03772" w:rsidP="00F03772">
      <w:pPr>
        <w:spacing w:after="0"/>
      </w:pPr>
      <w:r>
        <w:t>governed by that credentialing process, including an independent determination of</w:t>
      </w:r>
    </w:p>
    <w:p w14:paraId="14F9FB87" w14:textId="77777777" w:rsidR="00F03772" w:rsidRDefault="00F03772" w:rsidP="00F03772">
      <w:pPr>
        <w:spacing w:after="0"/>
      </w:pPr>
      <w:r>
        <w:lastRenderedPageBreak/>
        <w:t xml:space="preserve">the person’s Republican affiliation or loyalty to Republican principles required by </w:t>
      </w:r>
    </w:p>
    <w:p w14:paraId="57D14039" w14:textId="233D97E7" w:rsidR="00F03772" w:rsidRDefault="00F03772" w:rsidP="00F03772">
      <w:pPr>
        <w:spacing w:after="0"/>
      </w:pPr>
      <w:r>
        <w:t>the bylaws, may be made by majority vote after the affected person receives an opportunity to respond.</w:t>
      </w:r>
    </w:p>
    <w:p w14:paraId="50877513" w14:textId="77777777" w:rsidR="00F03772" w:rsidRDefault="00F03772" w:rsidP="00F03772">
      <w:pPr>
        <w:spacing w:after="0"/>
      </w:pPr>
    </w:p>
    <w:p w14:paraId="1199B808" w14:textId="77777777" w:rsidR="00F03772" w:rsidRDefault="00F03772" w:rsidP="00F03772">
      <w:pPr>
        <w:spacing w:after="0"/>
      </w:pPr>
      <w:r>
        <w:t xml:space="preserve">Declining to seat a person in this manner constitutes the constitutionally </w:t>
      </w:r>
    </w:p>
    <w:p w14:paraId="5135BEE8" w14:textId="77777777" w:rsidR="00F03772" w:rsidRDefault="00F03772" w:rsidP="00F03772">
      <w:pPr>
        <w:spacing w:after="0"/>
      </w:pPr>
      <w:r>
        <w:t xml:space="preserve">protected enforcement of membership qualifications by a private political </w:t>
      </w:r>
    </w:p>
    <w:p w14:paraId="15E9A65F" w14:textId="77777777" w:rsidR="00F03772" w:rsidRDefault="00F03772" w:rsidP="00F03772">
      <w:pPr>
        <w:spacing w:after="0"/>
      </w:pPr>
      <w:r>
        <w:t xml:space="preserve">association. It neither removes anyone from public office nor alters the election </w:t>
      </w:r>
    </w:p>
    <w:p w14:paraId="3FA0470E" w14:textId="77777777" w:rsidR="00F03772" w:rsidRDefault="00F03772" w:rsidP="00F03772">
      <w:pPr>
        <w:spacing w:after="0"/>
      </w:pPr>
      <w:r>
        <w:t xml:space="preserve">result. Instead, it determines only whether the person elected is qualified for </w:t>
      </w:r>
    </w:p>
    <w:p w14:paraId="02D2B4F0" w14:textId="77777777" w:rsidR="00F03772" w:rsidRDefault="00F03772" w:rsidP="00F03772">
      <w:pPr>
        <w:spacing w:after="0"/>
      </w:pPr>
      <w:r>
        <w:t>membership in the Committee.</w:t>
      </w:r>
    </w:p>
    <w:p w14:paraId="2F6003EA" w14:textId="77777777" w:rsidR="00F03772" w:rsidRDefault="00F03772" w:rsidP="00F03772">
      <w:pPr>
        <w:spacing w:after="0"/>
      </w:pPr>
    </w:p>
    <w:p w14:paraId="68740E49" w14:textId="77777777" w:rsidR="00F03772" w:rsidRDefault="00F03772" w:rsidP="00F03772">
      <w:pPr>
        <w:spacing w:after="0"/>
      </w:pPr>
      <w:r>
        <w:t>Sincerely yours,</w:t>
      </w:r>
    </w:p>
    <w:p w14:paraId="60A2EE2E" w14:textId="47550214" w:rsidR="00F03772" w:rsidRDefault="00F03772" w:rsidP="00F03772">
      <w:pPr>
        <w:spacing w:after="0"/>
      </w:pPr>
      <w:r>
        <w:t>Jonathan Sternber</w:t>
      </w:r>
      <w:r>
        <w:br w:type="page"/>
      </w:r>
    </w:p>
    <w:p w14:paraId="5FBB61C4" w14:textId="6AB10A94" w:rsidR="00F03772" w:rsidRPr="00F03772" w:rsidRDefault="00F03772" w:rsidP="00F03772">
      <w:pPr>
        <w:rPr>
          <w:b/>
          <w:bCs/>
        </w:rPr>
      </w:pPr>
      <w:r w:rsidRPr="00F03772">
        <w:rPr>
          <w:b/>
          <w:bCs/>
        </w:rPr>
        <w:lastRenderedPageBreak/>
        <w:t>From:</w:t>
      </w:r>
      <w:r w:rsidRPr="00F03772">
        <w:t xml:space="preserve"> Marc Ellinger &lt;</w:t>
      </w:r>
      <w:hyperlink r:id="rId6" w:tooltip="mailto:mellinger@ellingerlaw.com" w:history="1">
        <w:r w:rsidRPr="00F03772">
          <w:rPr>
            <w:rStyle w:val="Hyperlink"/>
          </w:rPr>
          <w:t>mellinger@ellingerlaw.com</w:t>
        </w:r>
      </w:hyperlink>
      <w:r w:rsidRPr="00F03772">
        <w:t>&gt;</w:t>
      </w:r>
      <w:r w:rsidRPr="00F03772">
        <w:br/>
      </w:r>
      <w:r w:rsidRPr="00F03772">
        <w:rPr>
          <w:b/>
          <w:bCs/>
        </w:rPr>
        <w:t>Date:</w:t>
      </w:r>
      <w:r w:rsidRPr="00F03772">
        <w:t xml:space="preserve"> August 18, 2026 at 3:39:37 PM CDT</w:t>
      </w:r>
      <w:r w:rsidRPr="00F03772">
        <w:br/>
      </w:r>
      <w:r w:rsidRPr="00F03772">
        <w:rPr>
          <w:b/>
          <w:bCs/>
        </w:rPr>
        <w:t>To:</w:t>
      </w:r>
      <w:r w:rsidRPr="00F03772">
        <w:t xml:space="preserve"> Missouri GOP &lt;</w:t>
      </w:r>
      <w:hyperlink r:id="rId7" w:tooltip="mailto:miles@mogop.org" w:history="1">
        <w:r w:rsidRPr="00F03772">
          <w:rPr>
            <w:rStyle w:val="Hyperlink"/>
          </w:rPr>
          <w:t>miles@mogop.org</w:t>
        </w:r>
      </w:hyperlink>
      <w:r w:rsidRPr="00F03772">
        <w:t>&gt;</w:t>
      </w:r>
      <w:r w:rsidRPr="00F03772">
        <w:br/>
      </w:r>
      <w:r w:rsidRPr="00F03772">
        <w:rPr>
          <w:b/>
          <w:bCs/>
        </w:rPr>
        <w:t>Subject:</w:t>
      </w:r>
      <w:r w:rsidRPr="00F03772">
        <w:t xml:space="preserve"> </w:t>
      </w:r>
      <w:r w:rsidRPr="00F03772">
        <w:rPr>
          <w:b/>
          <w:bCs/>
        </w:rPr>
        <w:t>Christian County Response</w:t>
      </w:r>
    </w:p>
    <w:p w14:paraId="32A288B3" w14:textId="77777777" w:rsidR="00F03772" w:rsidRPr="00F03772" w:rsidRDefault="00F03772" w:rsidP="00F03772">
      <w:pPr>
        <w:spacing w:after="0"/>
      </w:pPr>
      <w:r w:rsidRPr="00F03772">
        <w:t>﻿</w:t>
      </w:r>
    </w:p>
    <w:p w14:paraId="20631578" w14:textId="77777777" w:rsidR="00F03772" w:rsidRPr="00F03772" w:rsidRDefault="00F03772" w:rsidP="00F03772">
      <w:pPr>
        <w:spacing w:after="0"/>
      </w:pPr>
      <w:r w:rsidRPr="00F03772">
        <w:t>We have reviewed the letter sent to you by Mr. Sternberg. Unfortunately, his analysis is incorrect.</w:t>
      </w:r>
    </w:p>
    <w:p w14:paraId="143B594A" w14:textId="77777777" w:rsidR="00F03772" w:rsidRPr="00F03772" w:rsidRDefault="00F03772" w:rsidP="00F03772">
      <w:pPr>
        <w:spacing w:after="0"/>
      </w:pPr>
      <w:r w:rsidRPr="00F03772">
        <w:t> </w:t>
      </w:r>
    </w:p>
    <w:p w14:paraId="43DD244E" w14:textId="77777777" w:rsidR="00F03772" w:rsidRPr="00F03772" w:rsidRDefault="00F03772" w:rsidP="00F03772">
      <w:pPr>
        <w:spacing w:after="0"/>
      </w:pPr>
      <w:r w:rsidRPr="00F03772">
        <w:t xml:space="preserve">Ultimately, whether a political party may impose qualifications for committee membership in addition to those expressly set forth in §§ 115.607 and 115.611 is immaterial to the present dispute. It remains the State Committee’s position that it may not do so. But even assuming additional qualifications could lawfully be imposed, Chapter 115 establishes a specific procedure for determining whether a candidate is “qualified” to seek or hold an office, and that procedure had to be invoked before the election. Section 115.526 permits a candidate for nomination at a primary election to challenge another candidate’s “qualifications” to seek or hold the office or to have his or her name printed on the ballot. § 115.526.1, </w:t>
      </w:r>
      <w:proofErr w:type="spellStart"/>
      <w:r w:rsidRPr="00F03772">
        <w:t>RSMo</w:t>
      </w:r>
      <w:proofErr w:type="spellEnd"/>
      <w:r w:rsidRPr="00F03772">
        <w:t xml:space="preserve">. Such a challenge must be brought by verified petition within thirty days after the final date for filing. § 115.526.2. Missouri courts have accordingly recognized that § 115.526 “describes the exclusive process by which one candidate for office can challenge the qualifications of another for the same office[.]” </w:t>
      </w:r>
      <w:r w:rsidRPr="00F03772">
        <w:rPr>
          <w:i/>
          <w:iCs/>
        </w:rPr>
        <w:t>Chastain v. James</w:t>
      </w:r>
      <w:r w:rsidRPr="00F03772">
        <w:t>, 463 S.W.3d 811, 819 (</w:t>
      </w:r>
      <w:proofErr w:type="spellStart"/>
      <w:r w:rsidRPr="00F03772">
        <w:t>Mo.App</w:t>
      </w:r>
      <w:proofErr w:type="spellEnd"/>
      <w:r w:rsidRPr="00F03772">
        <w:t xml:space="preserve">. W.D. 2015); see also </w:t>
      </w:r>
      <w:r w:rsidRPr="00F03772">
        <w:rPr>
          <w:i/>
          <w:iCs/>
        </w:rPr>
        <w:t>Mosley v. English</w:t>
      </w:r>
      <w:r w:rsidRPr="00F03772">
        <w:t>, 501 S.W.3d 497, 501–02 (Mo. App. E.D. 2016).</w:t>
      </w:r>
      <w:r w:rsidRPr="00F03772">
        <w:rPr>
          <w:vertAlign w:val="superscript"/>
        </w:rPr>
        <w:t>[1]</w:t>
      </w:r>
    </w:p>
    <w:p w14:paraId="15C69590" w14:textId="77777777" w:rsidR="00F03772" w:rsidRPr="00F03772" w:rsidRDefault="00F03772" w:rsidP="00F03772">
      <w:pPr>
        <w:spacing w:after="0"/>
      </w:pPr>
      <w:r w:rsidRPr="00F03772">
        <w:t> </w:t>
      </w:r>
    </w:p>
    <w:p w14:paraId="7E6464E3" w14:textId="77777777" w:rsidR="00F03772" w:rsidRPr="00F03772" w:rsidRDefault="00F03772" w:rsidP="00F03772">
      <w:pPr>
        <w:spacing w:after="0"/>
      </w:pPr>
      <w:r w:rsidRPr="00F03772">
        <w:t>That procedure is dispositive here for two independent reasons. First, the time for challenging these candidates’ qualifications has passed. Whatever objection may have existed to whether they were “qualified” within the meaning of § 115.613 should have been raised through § 115.526 before the election—not after the candidates were permitted to appear on the ballot, received the most votes, and the election was concluded. Second, the County Committee itself could not have brought a § 115.526 challenge. The statute authorizes a candidate to challenge another candidate for the same office; it does not grant a county political committee authority to adjudicate a candidate’s qualifications. See § 115.526.1. Once the statutory opportunity to challenge qualifications expired and the election occurred, § 115.613 controls the result: the qualified candidates receiving the highest number of votes “shall be members” of the county committee. § 115.613.1. The statute leaves no post-election discretion with the County Committee to revisit the qualification question and substitute its judgment for the result produced by the statutory election process.</w:t>
      </w:r>
    </w:p>
    <w:p w14:paraId="6C7F65C7" w14:textId="77777777" w:rsidR="00F03772" w:rsidRPr="00F03772" w:rsidRDefault="00F03772" w:rsidP="00F03772">
      <w:pPr>
        <w:spacing w:after="0"/>
      </w:pPr>
      <w:r w:rsidRPr="00F03772">
        <w:t> </w:t>
      </w:r>
    </w:p>
    <w:p w14:paraId="6E70734F" w14:textId="77777777" w:rsidR="00F03772" w:rsidRPr="00F03772" w:rsidRDefault="00F03772" w:rsidP="00F03772">
      <w:pPr>
        <w:spacing w:after="0"/>
      </w:pPr>
      <w:r w:rsidRPr="00F03772">
        <w:lastRenderedPageBreak/>
        <w:t xml:space="preserve">Nor does </w:t>
      </w:r>
      <w:r w:rsidRPr="00F03772">
        <w:rPr>
          <w:i/>
          <w:iCs/>
        </w:rPr>
        <w:t>McClanahan,</w:t>
      </w:r>
      <w:r w:rsidRPr="00F03772">
        <w:t xml:space="preserve"> the case provided, support a contrary position. </w:t>
      </w:r>
      <w:r w:rsidRPr="00F03772">
        <w:rPr>
          <w:i/>
          <w:iCs/>
        </w:rPr>
        <w:t>McClanahan</w:t>
      </w:r>
      <w:r w:rsidRPr="00F03772">
        <w:t xml:space="preserve"> merely shows that a political party is not required to allow a candidate who does not share its values to run in its primary. It does not hold that, after an election has been conducted, the party may retroactively disqualify the candidate who prevailed. That is a materially different proposition, and we are aware of no authority supporting it.</w:t>
      </w:r>
    </w:p>
    <w:p w14:paraId="6B048CD1" w14:textId="77777777" w:rsidR="00F03772" w:rsidRPr="00F03772" w:rsidRDefault="00F03772" w:rsidP="00F03772">
      <w:pPr>
        <w:spacing w:after="0"/>
      </w:pPr>
      <w:r w:rsidRPr="00F03772">
        <w:t> </w:t>
      </w:r>
    </w:p>
    <w:p w14:paraId="289B1627" w14:textId="77777777" w:rsidR="00F03772" w:rsidRPr="00F03772" w:rsidRDefault="00F03772" w:rsidP="00F03772">
      <w:pPr>
        <w:spacing w:after="0"/>
      </w:pPr>
      <w:r w:rsidRPr="00F03772">
        <w:t>In short, the statutory framework and the authority cited in Mr. Sternberg’s letter do not provide a basis for disregarding the results of the election after the candidates were permitted to file, placed on the ballot, and elected.</w:t>
      </w:r>
    </w:p>
    <w:p w14:paraId="60ADA31E" w14:textId="77777777" w:rsidR="00F03772" w:rsidRPr="00F03772" w:rsidRDefault="00F03772" w:rsidP="00F03772">
      <w:pPr>
        <w:spacing w:after="0"/>
      </w:pPr>
      <w:r w:rsidRPr="00F03772">
        <w:t> </w:t>
      </w:r>
    </w:p>
    <w:p w14:paraId="0057A4A6" w14:textId="77777777" w:rsidR="00F03772" w:rsidRPr="00F03772" w:rsidRDefault="00F03772" w:rsidP="00F03772">
      <w:pPr>
        <w:spacing w:after="0"/>
      </w:pPr>
      <w:r w:rsidRPr="00F03772">
        <w:t> </w:t>
      </w:r>
    </w:p>
    <w:p w14:paraId="3D541340" w14:textId="77777777" w:rsidR="00F03772" w:rsidRPr="00F03772" w:rsidRDefault="00F03772" w:rsidP="00F03772">
      <w:pPr>
        <w:spacing w:after="0"/>
      </w:pPr>
      <w:r w:rsidRPr="00F03772">
        <w:t>Marc</w:t>
      </w:r>
    </w:p>
    <w:p w14:paraId="26E9F8A7" w14:textId="77777777" w:rsidR="00F03772" w:rsidRDefault="00F03772">
      <w:r>
        <w:br w:type="page"/>
      </w:r>
    </w:p>
    <w:p w14:paraId="06416EA0" w14:textId="6C12C3AF" w:rsidR="00A11AB6" w:rsidRPr="00A11AB6" w:rsidRDefault="00A11AB6" w:rsidP="00A11AB6">
      <w:pPr>
        <w:spacing w:after="0"/>
      </w:pPr>
      <w:r w:rsidRPr="00A11AB6">
        <w:lastRenderedPageBreak/>
        <w:t>Don,</w:t>
      </w:r>
    </w:p>
    <w:p w14:paraId="173D9152" w14:textId="77777777" w:rsidR="00A11AB6" w:rsidRPr="00A11AB6" w:rsidRDefault="00A11AB6" w:rsidP="00A11AB6">
      <w:pPr>
        <w:spacing w:after="0"/>
      </w:pPr>
      <w:r w:rsidRPr="00A11AB6">
        <w:t> </w:t>
      </w:r>
    </w:p>
    <w:p w14:paraId="2FFCBC2D" w14:textId="77777777" w:rsidR="00A11AB6" w:rsidRPr="00A11AB6" w:rsidRDefault="00A11AB6" w:rsidP="00A11AB6">
      <w:pPr>
        <w:spacing w:after="0"/>
      </w:pPr>
      <w:r w:rsidRPr="00A11AB6">
        <w:t>I have reviewed Mr. Ellinger’s e-mail.  I respectfully disagree with his analysis and continue to believe the Committee has a substantial legal basis for enforcing its duly adopted membership qualifications.  That said, MOGOP’s reliance on counsel’s position raises a separate issue of internal party authority that the Committee should address directly.</w:t>
      </w:r>
    </w:p>
    <w:p w14:paraId="0DCBC578" w14:textId="77777777" w:rsidR="00A11AB6" w:rsidRPr="00A11AB6" w:rsidRDefault="00A11AB6" w:rsidP="00A11AB6">
      <w:pPr>
        <w:spacing w:after="0"/>
      </w:pPr>
      <w:r w:rsidRPr="00A11AB6">
        <w:t> </w:t>
      </w:r>
    </w:p>
    <w:p w14:paraId="5D634C22" w14:textId="77777777" w:rsidR="00A11AB6" w:rsidRPr="00A11AB6" w:rsidRDefault="00A11AB6" w:rsidP="00A11AB6">
      <w:pPr>
        <w:spacing w:after="0"/>
      </w:pPr>
      <w:r w:rsidRPr="00A11AB6">
        <w:t xml:space="preserve">The principal flaw in Mr. Ellinger’s analysis is that it treats § 115.526, </w:t>
      </w:r>
      <w:hyperlink r:id="rId8" w:tgtFrame="_blank" w:tooltip="http://R.S.Mo" w:history="1">
        <w:proofErr w:type="spellStart"/>
        <w:r w:rsidRPr="00A11AB6">
          <w:rPr>
            <w:rStyle w:val="Hyperlink"/>
          </w:rPr>
          <w:t>R.S.Mo</w:t>
        </w:r>
        <w:proofErr w:type="spellEnd"/>
      </w:hyperlink>
      <w:r w:rsidRPr="00A11AB6">
        <w:t xml:space="preserve">. as if it governed every possible determination of a person’s qualifications.  It does not.  Section 115.526 creates a particular judicial procedure through which one candidate may challenge another candidate’s qualifications to seek the same office or appear on the ballot.  That is why the Court of Appeals in </w:t>
      </w:r>
      <w:r w:rsidRPr="00A11AB6">
        <w:rPr>
          <w:i/>
          <w:iCs/>
        </w:rPr>
        <w:t>Chastain v. James</w:t>
      </w:r>
      <w:r w:rsidRPr="00A11AB6">
        <w:t xml:space="preserve">, the decision he cited, described § 115.526 as the “exclusive process by which one candidate for office can challenge the qualifications of another for the same office.”  463 S.W.3d 811, 819 (Mo. App. W.D. 2015) (emphasis added).  Similarly, the other decision he cites, </w:t>
      </w:r>
      <w:r w:rsidRPr="00A11AB6">
        <w:rPr>
          <w:i/>
          <w:iCs/>
        </w:rPr>
        <w:t>Mosley v. English</w:t>
      </w:r>
      <w:r w:rsidRPr="00A11AB6">
        <w:t>, also involved a candidate’s statutory election contest and the circuit court’s jurisdiction to hear it.  501 S.W.3d 497, 501-02 (Mo. App. E.D. 2016).</w:t>
      </w:r>
    </w:p>
    <w:p w14:paraId="456C8F64" w14:textId="77777777" w:rsidR="00A11AB6" w:rsidRPr="00A11AB6" w:rsidRDefault="00A11AB6" w:rsidP="00A11AB6">
      <w:pPr>
        <w:spacing w:after="0"/>
      </w:pPr>
      <w:r w:rsidRPr="00A11AB6">
        <w:t> </w:t>
      </w:r>
    </w:p>
    <w:p w14:paraId="70C5BD67" w14:textId="77777777" w:rsidR="00A11AB6" w:rsidRPr="00A11AB6" w:rsidRDefault="00A11AB6" w:rsidP="00A11AB6">
      <w:pPr>
        <w:spacing w:after="0"/>
      </w:pPr>
      <w:r w:rsidRPr="00A11AB6">
        <w:t>Neither decision considered whether a political party may enforce its own qualifications for membership in one of its governing committees.  Neither case involved the First Amendment right of association.  And neither case held that § 115.526 extinguishes a political party’s authority to determine who is entitled to serve as one of its officers.</w:t>
      </w:r>
    </w:p>
    <w:p w14:paraId="6CFFFC98" w14:textId="77777777" w:rsidR="00A11AB6" w:rsidRPr="00A11AB6" w:rsidRDefault="00A11AB6" w:rsidP="00A11AB6">
      <w:pPr>
        <w:spacing w:after="0"/>
      </w:pPr>
      <w:r w:rsidRPr="00A11AB6">
        <w:t> </w:t>
      </w:r>
    </w:p>
    <w:p w14:paraId="338A4DE1" w14:textId="77777777" w:rsidR="00A11AB6" w:rsidRPr="00A11AB6" w:rsidRDefault="00A11AB6" w:rsidP="00A11AB6">
      <w:pPr>
        <w:spacing w:after="0"/>
      </w:pPr>
      <w:r w:rsidRPr="00A11AB6">
        <w:t>Indeed, the Missouri Attorney General previously rejected a similarly broad reading of § 115.526.  In Opinion No. 111-88 (May 18, 1988), the Attorney General recognized that § 115.526 establishes a procedure for one candidate to challenge another but concluded that the statute did not impliedly eliminate the election authority’s independent obligation to withhold an ineligible candidate.  Although an Attorney General opinion is not binding on a court, it illustrates why Mr. Ellinger’s exclusivity argument goes too far.  A candidate’s failure to file a § 115.526 lawsuit does not necessarily validate every qualification of the opposing candidate for every purpose and against every entity.</w:t>
      </w:r>
    </w:p>
    <w:p w14:paraId="5BDA718D" w14:textId="77777777" w:rsidR="00A11AB6" w:rsidRPr="00A11AB6" w:rsidRDefault="00A11AB6" w:rsidP="00A11AB6">
      <w:pPr>
        <w:spacing w:after="0"/>
      </w:pPr>
      <w:r w:rsidRPr="00A11AB6">
        <w:t> </w:t>
      </w:r>
    </w:p>
    <w:p w14:paraId="66430CA1" w14:textId="77777777" w:rsidR="00A11AB6" w:rsidRPr="00A11AB6" w:rsidRDefault="00A11AB6" w:rsidP="00A11AB6">
      <w:pPr>
        <w:spacing w:after="0"/>
      </w:pPr>
      <w:r w:rsidRPr="00A11AB6">
        <w:t xml:space="preserve">More importantly, Mr. Ellinger’s post-election distinction is inconsistent with the controlling First Amendment cases, which he doesn’t address at all.  And they’re not limited to the </w:t>
      </w:r>
      <w:r w:rsidRPr="00A11AB6">
        <w:rPr>
          <w:i/>
          <w:iCs/>
        </w:rPr>
        <w:t>Eu</w:t>
      </w:r>
      <w:r w:rsidRPr="00A11AB6">
        <w:t xml:space="preserve"> decision I cited in my letter to you.  In </w:t>
      </w:r>
      <w:r w:rsidRPr="00A11AB6">
        <w:rPr>
          <w:i/>
          <w:iCs/>
        </w:rPr>
        <w:t xml:space="preserve">Cousins v. </w:t>
      </w:r>
      <w:proofErr w:type="spellStart"/>
      <w:r w:rsidRPr="00A11AB6">
        <w:rPr>
          <w:i/>
          <w:iCs/>
        </w:rPr>
        <w:t>Wigoda</w:t>
      </w:r>
      <w:proofErr w:type="spellEnd"/>
      <w:r w:rsidRPr="00A11AB6">
        <w:t xml:space="preserve">, delegates had been selected under Illinois election law, but the National Democratic Party refused to seat them because they had not been selected in compliance with party rules.  The Supreme Court held that Illinois could not compel the party to seat those delegates.  419 U.S. 477, 487-91 (1975).  The fact that the state </w:t>
      </w:r>
      <w:r w:rsidRPr="00A11AB6">
        <w:lastRenderedPageBreak/>
        <w:t>election process had already occurred did not give the successful candidates a constitutional right to become party officers.</w:t>
      </w:r>
    </w:p>
    <w:p w14:paraId="35487799" w14:textId="77777777" w:rsidR="00A11AB6" w:rsidRPr="00A11AB6" w:rsidRDefault="00A11AB6" w:rsidP="00A11AB6">
      <w:pPr>
        <w:spacing w:after="0"/>
      </w:pPr>
      <w:r w:rsidRPr="00A11AB6">
        <w:t> </w:t>
      </w:r>
    </w:p>
    <w:p w14:paraId="3820ECC5" w14:textId="77777777" w:rsidR="00A11AB6" w:rsidRPr="00A11AB6" w:rsidRDefault="00A11AB6" w:rsidP="00A11AB6">
      <w:pPr>
        <w:spacing w:after="0"/>
      </w:pPr>
      <w:r w:rsidRPr="00A11AB6">
        <w:t xml:space="preserve">The Supreme Court applied the same rule in </w:t>
      </w:r>
      <w:r w:rsidRPr="00A11AB6">
        <w:rPr>
          <w:i/>
          <w:iCs/>
        </w:rPr>
        <w:t>Democratic Party of the United States v. Wisconsin ex rel. La Follette</w:t>
      </w:r>
      <w:r w:rsidRPr="00A11AB6">
        <w:t xml:space="preserve">.  Wisconsin conducted a presidential preference primary and attempted to require the National Democratic Party to seat a delegation selected through a process that violated party rules.  The Court held that the State could not constitutionally compel the party to seat the delegation.  450 U.S. 107, 120-26 (1981).  The Court expressly explained that the issue had already been resolved in </w:t>
      </w:r>
      <w:r w:rsidRPr="00A11AB6">
        <w:rPr>
          <w:i/>
          <w:iCs/>
        </w:rPr>
        <w:t>Cousins</w:t>
      </w:r>
      <w:r w:rsidRPr="00A11AB6">
        <w:t>.  Those cases directly contradict the proposition that, once an election has occurred, the party necessarily loses all ability to determine whether the resulting candidates may serve as party representatives.</w:t>
      </w:r>
    </w:p>
    <w:p w14:paraId="62280048" w14:textId="77777777" w:rsidR="00A11AB6" w:rsidRPr="00A11AB6" w:rsidRDefault="00A11AB6" w:rsidP="00A11AB6">
      <w:pPr>
        <w:spacing w:after="0"/>
      </w:pPr>
      <w:r w:rsidRPr="00A11AB6">
        <w:rPr>
          <w:i/>
          <w:iCs/>
        </w:rPr>
        <w:t> </w:t>
      </w:r>
    </w:p>
    <w:p w14:paraId="339FA545" w14:textId="77777777" w:rsidR="00A11AB6" w:rsidRPr="00A11AB6" w:rsidRDefault="00A11AB6" w:rsidP="00A11AB6">
      <w:pPr>
        <w:spacing w:after="0"/>
      </w:pPr>
      <w:r w:rsidRPr="00A11AB6">
        <w:t xml:space="preserve">The case I cited in my letter to you, </w:t>
      </w:r>
      <w:r w:rsidRPr="00A11AB6">
        <w:rPr>
          <w:i/>
          <w:iCs/>
        </w:rPr>
        <w:t>Eu v. San Francisco County Democratic Central Committee</w:t>
      </w:r>
      <w:r w:rsidRPr="00A11AB6">
        <w:t>, is particularly important because it addressed official party county committees.  The Supreme Court held that freedom of association encompasses a political party’s decisions about its identity, internal structure, and process for selecting its leaders.  489 U.S. 214, 224, 229-33 (1989).  The Court specifically held that state laws designating who “shall be members” of a party’s governing bodies interfere with the party’s choice of leaders.  </w:t>
      </w:r>
      <w:r w:rsidRPr="00A11AB6">
        <w:rPr>
          <w:i/>
          <w:iCs/>
        </w:rPr>
        <w:t>Id.</w:t>
      </w:r>
      <w:r w:rsidRPr="00A11AB6">
        <w:t xml:space="preserve"> at 230.  It further held that the State has no legitimate interest in “protect[</w:t>
      </w:r>
      <w:proofErr w:type="spellStart"/>
      <w:r w:rsidRPr="00A11AB6">
        <w:t>ing</w:t>
      </w:r>
      <w:proofErr w:type="spellEnd"/>
      <w:r w:rsidRPr="00A11AB6">
        <w:t>] the integrity of the Party against the Party itself.”  </w:t>
      </w:r>
      <w:r w:rsidRPr="00A11AB6">
        <w:rPr>
          <w:i/>
          <w:iCs/>
        </w:rPr>
        <w:t>Id.</w:t>
      </w:r>
      <w:r w:rsidRPr="00A11AB6">
        <w:t xml:space="preserve"> at 232.</w:t>
      </w:r>
    </w:p>
    <w:p w14:paraId="0E941D1D" w14:textId="77777777" w:rsidR="00A11AB6" w:rsidRPr="00A11AB6" w:rsidRDefault="00A11AB6" w:rsidP="00A11AB6">
      <w:pPr>
        <w:spacing w:after="0"/>
      </w:pPr>
      <w:r w:rsidRPr="00A11AB6">
        <w:t> </w:t>
      </w:r>
    </w:p>
    <w:p w14:paraId="632D9B3A" w14:textId="77777777" w:rsidR="00A11AB6" w:rsidRPr="00A11AB6" w:rsidRDefault="00A11AB6" w:rsidP="00A11AB6">
      <w:pPr>
        <w:spacing w:after="0"/>
      </w:pPr>
      <w:r w:rsidRPr="00A11AB6">
        <w:t>The remainder of the Supreme Court’s cases point in the same direction.  A party’s determination of the organizational structure best suited to achieving its political goals is constitutionally protected.  </w:t>
      </w:r>
      <w:r w:rsidRPr="00A11AB6">
        <w:rPr>
          <w:i/>
          <w:iCs/>
        </w:rPr>
        <w:t>Tashjian v. Republican Party of Connecticut</w:t>
      </w:r>
      <w:r w:rsidRPr="00A11AB6">
        <w:t>, 479 U.S. 208, 224 (1986).  The right to associate necessarily presupposes a right to identify those who constitute the association and to exclude others.  </w:t>
      </w:r>
      <w:r w:rsidRPr="00A11AB6">
        <w:rPr>
          <w:i/>
          <w:iCs/>
        </w:rPr>
        <w:t>California Democratic Party v. Jones</w:t>
      </w:r>
      <w:r w:rsidRPr="00A11AB6">
        <w:t>, 530 U.S. 567, 573-75 (2000).  Nor does an individual have a constitutional right to force a political party to accept him or her as its candidate or representative.  </w:t>
      </w:r>
      <w:r w:rsidRPr="00A11AB6">
        <w:rPr>
          <w:i/>
          <w:iCs/>
        </w:rPr>
        <w:t>New York State Board of Elections v. Lopez Torres</w:t>
      </w:r>
      <w:r w:rsidRPr="00A11AB6">
        <w:t xml:space="preserve">, 552 U.S. 196, 202-05 (2008); </w:t>
      </w:r>
      <w:r w:rsidRPr="00A11AB6">
        <w:rPr>
          <w:i/>
          <w:iCs/>
        </w:rPr>
        <w:t>Duke v. Massey</w:t>
      </w:r>
      <w:r w:rsidRPr="00A11AB6">
        <w:t xml:space="preserve">, 87 F.3d 1226, 1234 (11th Cir. 1996); </w:t>
      </w:r>
      <w:r w:rsidRPr="00A11AB6">
        <w:rPr>
          <w:i/>
          <w:iCs/>
        </w:rPr>
        <w:t>LaRouche v. Fowler</w:t>
      </w:r>
      <w:r w:rsidRPr="00A11AB6">
        <w:t>, 152 F.3d 974, 995 (D.C. Cir. 1998).</w:t>
      </w:r>
    </w:p>
    <w:p w14:paraId="67A8FB07" w14:textId="77777777" w:rsidR="00A11AB6" w:rsidRPr="00A11AB6" w:rsidRDefault="00A11AB6" w:rsidP="00A11AB6">
      <w:pPr>
        <w:spacing w:after="0"/>
      </w:pPr>
      <w:r w:rsidRPr="00A11AB6">
        <w:t> </w:t>
      </w:r>
    </w:p>
    <w:p w14:paraId="58B31827" w14:textId="77777777" w:rsidR="00A11AB6" w:rsidRPr="00A11AB6" w:rsidRDefault="00A11AB6" w:rsidP="00A11AB6">
      <w:pPr>
        <w:spacing w:after="0"/>
      </w:pPr>
      <w:r w:rsidRPr="00A11AB6">
        <w:t>Missouri law also recognizes the distinction between public office and party office.  A party committeeman does not exercise sovereign authority and does not hold an elective public office.  Rather, the committeeman represents and acts for the political party.  </w:t>
      </w:r>
      <w:r w:rsidRPr="00A11AB6">
        <w:rPr>
          <w:i/>
          <w:iCs/>
        </w:rPr>
        <w:t>State ex rel. McCulloch v. Hoskins</w:t>
      </w:r>
      <w:r w:rsidRPr="00A11AB6">
        <w:t>, 978 S.W.2d 779, 782-85 (Mo. App. 1998).  The Missouri Supreme Court reaffirmed that conclusion and recognized that political parties possess First Amendment rights to govern themselves.  </w:t>
      </w:r>
      <w:r w:rsidRPr="00A11AB6">
        <w:rPr>
          <w:i/>
          <w:iCs/>
        </w:rPr>
        <w:t xml:space="preserve">State ex rel. </w:t>
      </w:r>
      <w:proofErr w:type="spellStart"/>
      <w:r w:rsidRPr="00A11AB6">
        <w:rPr>
          <w:i/>
          <w:iCs/>
        </w:rPr>
        <w:t>Tompras</w:t>
      </w:r>
      <w:proofErr w:type="spellEnd"/>
      <w:r w:rsidRPr="00A11AB6">
        <w:rPr>
          <w:i/>
          <w:iCs/>
        </w:rPr>
        <w:t xml:space="preserve"> v. Board of Election Commissioners</w:t>
      </w:r>
      <w:r w:rsidRPr="00A11AB6">
        <w:t>, 136 S.W.3d 65, 66-67 (Mo. banc 2004).</w:t>
      </w:r>
    </w:p>
    <w:p w14:paraId="69B27D7C" w14:textId="77777777" w:rsidR="00A11AB6" w:rsidRPr="00A11AB6" w:rsidRDefault="00A11AB6" w:rsidP="00A11AB6">
      <w:pPr>
        <w:spacing w:after="0"/>
      </w:pPr>
      <w:r w:rsidRPr="00A11AB6">
        <w:lastRenderedPageBreak/>
        <w:t> </w:t>
      </w:r>
    </w:p>
    <w:p w14:paraId="7F84FEC5" w14:textId="77777777" w:rsidR="00A11AB6" w:rsidRPr="00A11AB6" w:rsidRDefault="00A11AB6" w:rsidP="00A11AB6">
      <w:pPr>
        <w:spacing w:after="0"/>
      </w:pPr>
      <w:r w:rsidRPr="00A11AB6">
        <w:t xml:space="preserve">Finally, the State Party’s own recent victory in </w:t>
      </w:r>
      <w:r w:rsidRPr="00A11AB6">
        <w:rPr>
          <w:i/>
          <w:iCs/>
        </w:rPr>
        <w:t>McClanahan v. Hoskins</w:t>
      </w:r>
      <w:r w:rsidRPr="00A11AB6">
        <w:t xml:space="preserve"> – which I had not mentioned, but which Mr. Ellinger does in his letter – actually rests on these same principles.  </w:t>
      </w:r>
      <w:r w:rsidRPr="00A11AB6">
        <w:rPr>
          <w:i/>
          <w:iCs/>
        </w:rPr>
        <w:t>See</w:t>
      </w:r>
      <w:r w:rsidRPr="00A11AB6">
        <w:t xml:space="preserve"> No. 6:25-cv-03399-DGK (W.D. Mo. May 27, 2026).  There, the federal court held that a person had no constitutional right to appear on the Republican primary ballot without satisfying MOGOP’s internal procedures.  The court recognized MOGOP’s right to engage in ideological and viewpoint-based vetting because determining who may represent a political party is central to the party’s associational freedom.  The State Party counsel is correct that </w:t>
      </w:r>
      <w:r w:rsidRPr="00A11AB6">
        <w:rPr>
          <w:i/>
          <w:iCs/>
        </w:rPr>
        <w:t>McClanahan</w:t>
      </w:r>
      <w:r w:rsidRPr="00A11AB6">
        <w:t xml:space="preserve"> arose before the primary, but that factual distinction does not dispose of the First Amendment decisions in </w:t>
      </w:r>
      <w:r w:rsidRPr="00A11AB6">
        <w:rPr>
          <w:i/>
          <w:iCs/>
        </w:rPr>
        <w:t>Cousins</w:t>
      </w:r>
      <w:r w:rsidRPr="00A11AB6">
        <w:t xml:space="preserve">, </w:t>
      </w:r>
      <w:r w:rsidRPr="00A11AB6">
        <w:rPr>
          <w:i/>
          <w:iCs/>
        </w:rPr>
        <w:t>La Follette</w:t>
      </w:r>
      <w:r w:rsidRPr="00A11AB6">
        <w:t xml:space="preserve">, or </w:t>
      </w:r>
      <w:r w:rsidRPr="00A11AB6">
        <w:rPr>
          <w:i/>
          <w:iCs/>
        </w:rPr>
        <w:t>Eu</w:t>
      </w:r>
      <w:r w:rsidRPr="00A11AB6">
        <w:t>, all of which concern the party’s ultimate authority over its representatives and governing bodies.  Your committee can no more be required to allow, say, a communist to be a committeeman just because the person put his name on a ballot and was elected than the State Party can be to accept that same communist as one of its primary candidates.</w:t>
      </w:r>
    </w:p>
    <w:p w14:paraId="2C2ECE05" w14:textId="77777777" w:rsidR="00A11AB6" w:rsidRPr="00A11AB6" w:rsidRDefault="00A11AB6" w:rsidP="00A11AB6">
      <w:pPr>
        <w:spacing w:after="0"/>
      </w:pPr>
      <w:r w:rsidRPr="00A11AB6">
        <w:t> </w:t>
      </w:r>
    </w:p>
    <w:p w14:paraId="1AA25270" w14:textId="77777777" w:rsidR="00A11AB6" w:rsidRPr="00A11AB6" w:rsidRDefault="00A11AB6" w:rsidP="00A11AB6">
      <w:pPr>
        <w:spacing w:after="0"/>
      </w:pPr>
      <w:r w:rsidRPr="00A11AB6">
        <w:t>Section 115.613 does not change the analysis.  It says that the “qualified” candidates receiving the highest number of votes shall be committee members.  It does not define “qualified” as merely satisfying the residency and voter-registration requirements in § 115.607, nor does it prohibit a political party from imposing party-related qualifications upon those who will govern and represent it.  Section 115.627, in turn, expressly contemplates party bylaws so long as they do not conflict with Missouri law.  At minimum, §§ 115.613 and 115.627 must be construed consistently with the First Amendment cases discussed above.</w:t>
      </w:r>
    </w:p>
    <w:p w14:paraId="60414423" w14:textId="77777777" w:rsidR="00A11AB6" w:rsidRPr="00A11AB6" w:rsidRDefault="00A11AB6" w:rsidP="00A11AB6">
      <w:pPr>
        <w:spacing w:after="0"/>
      </w:pPr>
      <w:r w:rsidRPr="00A11AB6">
        <w:t> </w:t>
      </w:r>
    </w:p>
    <w:p w14:paraId="42DFEE6C" w14:textId="77777777" w:rsidR="00A11AB6" w:rsidRPr="00A11AB6" w:rsidRDefault="00A11AB6" w:rsidP="00A11AB6">
      <w:pPr>
        <w:spacing w:after="0"/>
      </w:pPr>
      <w:r w:rsidRPr="00A11AB6">
        <w:t xml:space="preserve">The bottom line is that Mr. Ellinger’s citations to </w:t>
      </w:r>
      <w:r w:rsidRPr="00A11AB6">
        <w:rPr>
          <w:i/>
          <w:iCs/>
        </w:rPr>
        <w:t>Chastain</w:t>
      </w:r>
      <w:r w:rsidRPr="00A11AB6">
        <w:t xml:space="preserve"> and </w:t>
      </w:r>
      <w:r w:rsidRPr="00A11AB6">
        <w:rPr>
          <w:i/>
          <w:iCs/>
        </w:rPr>
        <w:t>Mosley</w:t>
      </w:r>
      <w:r w:rsidRPr="00A11AB6">
        <w:t xml:space="preserve"> do not decide the issue, and I do not believe § 115.526 silently displaced the Committee’s associational authority.</w:t>
      </w:r>
    </w:p>
    <w:p w14:paraId="23CA7ACE" w14:textId="77777777" w:rsidR="00A11AB6" w:rsidRPr="00A11AB6" w:rsidRDefault="00A11AB6" w:rsidP="00A11AB6">
      <w:pPr>
        <w:spacing w:after="0"/>
      </w:pPr>
      <w:r w:rsidRPr="00A11AB6">
        <w:t> </w:t>
      </w:r>
    </w:p>
    <w:p w14:paraId="29D5F4F3" w14:textId="77777777" w:rsidR="00A11AB6" w:rsidRPr="00A11AB6" w:rsidRDefault="00A11AB6" w:rsidP="00A11AB6">
      <w:pPr>
        <w:spacing w:after="0"/>
      </w:pPr>
      <w:r w:rsidRPr="00A11AB6">
        <w:t>At the same time, MOGOP’s position presents a practical and potentially significant issue.  Its bylaws make it the supreme governing body of the Missouri Republican Party and subordinate the statutory county organizations to it.  If MOGOP has formally exercised that authority through a bylaw, resolution, or other authorized directive requiring the Committee to seat these individuals, the dispute may become one about which party organ is authorized to speak for the Republican Party.  The associational cases could then bear on the State Party’s authority as well as the County Committee’s authority.</w:t>
      </w:r>
    </w:p>
    <w:p w14:paraId="1022C607" w14:textId="77777777" w:rsidR="00A11AB6" w:rsidRPr="00A11AB6" w:rsidRDefault="00A11AB6" w:rsidP="00A11AB6">
      <w:pPr>
        <w:spacing w:after="0"/>
      </w:pPr>
      <w:r w:rsidRPr="00A11AB6">
        <w:t> </w:t>
      </w:r>
    </w:p>
    <w:p w14:paraId="2113B36A" w14:textId="77777777" w:rsidR="00A11AB6" w:rsidRPr="00A11AB6" w:rsidRDefault="00A11AB6" w:rsidP="00A11AB6">
      <w:pPr>
        <w:spacing w:after="0"/>
      </w:pPr>
      <w:r w:rsidRPr="00A11AB6">
        <w:t xml:space="preserve">But Mr. Ellinger’s letter does not identify any MOGOP bylaw, resolution, or formal directive that supersedes the Committee’s qualifications.  Instead, it relies almost entirely on Chapter 115 and the asserted exclusivity of § 115.526, which I have demonstrated is in error.  Accordingly, I would ask MOGOP to identify the particular provision or formal party action upon which it </w:t>
      </w:r>
      <w:r w:rsidRPr="00A11AB6">
        <w:lastRenderedPageBreak/>
        <w:t>contends the Committee’s adopted requirements are invalid or subordinate.  That is a different and more substantial question than the statutory argument Mr. Ellinger makes in his letter.</w:t>
      </w:r>
    </w:p>
    <w:p w14:paraId="0BD6BE2E" w14:textId="77777777" w:rsidR="00A11AB6" w:rsidRPr="00A11AB6" w:rsidRDefault="00A11AB6" w:rsidP="00A11AB6">
      <w:pPr>
        <w:spacing w:after="0"/>
      </w:pPr>
      <w:r w:rsidRPr="00A11AB6">
        <w:t> </w:t>
      </w:r>
    </w:p>
    <w:p w14:paraId="484AA7ED" w14:textId="77777777" w:rsidR="00A11AB6" w:rsidRPr="00A11AB6" w:rsidRDefault="00A11AB6" w:rsidP="00A11AB6">
      <w:pPr>
        <w:spacing w:after="0"/>
      </w:pPr>
      <w:r w:rsidRPr="00A11AB6">
        <w:t>My conclusion remains that the Committee has a defensible basis for applying the credentialing procedure it adopted before the election.  I do not withdraw my prior opinion in any way.  Instead, I supplement it with the above discussion.  I suggest you preserve all bylaws, notices, credential forms, committee reports, appeals, meeting minutes, and communications with MOGOP in anticipation of a possible internal party proceeding or lawsuit.</w:t>
      </w:r>
    </w:p>
    <w:p w14:paraId="7319184B" w14:textId="77777777" w:rsidR="00A11AB6" w:rsidRPr="00A11AB6" w:rsidRDefault="00A11AB6" w:rsidP="00A11AB6">
      <w:pPr>
        <w:spacing w:after="0"/>
      </w:pPr>
      <w:r w:rsidRPr="00A11AB6">
        <w:t> </w:t>
      </w:r>
    </w:p>
    <w:p w14:paraId="24C5F659" w14:textId="77777777" w:rsidR="00A11AB6" w:rsidRPr="00A11AB6" w:rsidRDefault="00A11AB6" w:rsidP="00A11AB6">
      <w:pPr>
        <w:spacing w:after="0"/>
      </w:pPr>
      <w:r w:rsidRPr="00A11AB6">
        <w:t>I’m available to chat if you’d like.  Feel free to call my cell phone.</w:t>
      </w:r>
    </w:p>
    <w:p w14:paraId="669501B9" w14:textId="77777777" w:rsidR="00A11AB6" w:rsidRPr="00A11AB6" w:rsidRDefault="00A11AB6" w:rsidP="00A11AB6">
      <w:pPr>
        <w:spacing w:after="0"/>
      </w:pPr>
      <w:r w:rsidRPr="00A11AB6">
        <w:t> </w:t>
      </w:r>
    </w:p>
    <w:p w14:paraId="7D700B2B" w14:textId="77777777" w:rsidR="00A11AB6" w:rsidRPr="00A11AB6" w:rsidRDefault="00A11AB6" w:rsidP="00A11AB6">
      <w:pPr>
        <w:spacing w:after="0"/>
      </w:pPr>
      <w:r w:rsidRPr="00A11AB6">
        <w:t>Jonathan</w:t>
      </w:r>
    </w:p>
    <w:p w14:paraId="3B769EB7" w14:textId="24EFBFB6" w:rsidR="00A11AB6" w:rsidRPr="00A11AB6" w:rsidRDefault="00A11AB6" w:rsidP="00A11AB6">
      <w:pPr>
        <w:spacing w:after="0"/>
      </w:pPr>
      <w:r w:rsidRPr="00A11AB6">
        <w:t> </w:t>
      </w:r>
      <w:r w:rsidRPr="00A11AB6">
        <w:rPr>
          <w:b/>
          <w:bCs/>
        </w:rPr>
        <w:t>Jonathan Sternberg, Attorney, P.C.</w:t>
      </w:r>
    </w:p>
    <w:p w14:paraId="5255E6EA" w14:textId="77777777" w:rsidR="00A11AB6" w:rsidRDefault="00A11AB6" w:rsidP="0089660D">
      <w:pPr>
        <w:spacing w:after="0"/>
      </w:pPr>
    </w:p>
    <w:sectPr w:rsidR="00A11A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AB6"/>
    <w:rsid w:val="002361E0"/>
    <w:rsid w:val="002A7F0C"/>
    <w:rsid w:val="002B48C2"/>
    <w:rsid w:val="003457CE"/>
    <w:rsid w:val="0089660D"/>
    <w:rsid w:val="00A11AB6"/>
    <w:rsid w:val="00A8156F"/>
    <w:rsid w:val="00F03772"/>
    <w:rsid w:val="00FB4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2CCF9"/>
  <w15:chartTrackingRefBased/>
  <w15:docId w15:val="{F0E21C22-6F87-4E9E-8F42-0305A1E7D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1A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11A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11AB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11AB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11AB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11A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1A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1A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1A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1AB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11AB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11AB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11AB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11AB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11A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1A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1A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1AB6"/>
    <w:rPr>
      <w:rFonts w:eastAsiaTheme="majorEastAsia" w:cstheme="majorBidi"/>
      <w:color w:val="272727" w:themeColor="text1" w:themeTint="D8"/>
    </w:rPr>
  </w:style>
  <w:style w:type="paragraph" w:styleId="Title">
    <w:name w:val="Title"/>
    <w:basedOn w:val="Normal"/>
    <w:next w:val="Normal"/>
    <w:link w:val="TitleChar"/>
    <w:uiPriority w:val="10"/>
    <w:qFormat/>
    <w:rsid w:val="00A11A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1A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1A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1A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1AB6"/>
    <w:pPr>
      <w:spacing w:before="160"/>
      <w:jc w:val="center"/>
    </w:pPr>
    <w:rPr>
      <w:i/>
      <w:iCs/>
      <w:color w:val="404040" w:themeColor="text1" w:themeTint="BF"/>
    </w:rPr>
  </w:style>
  <w:style w:type="character" w:customStyle="1" w:styleId="QuoteChar">
    <w:name w:val="Quote Char"/>
    <w:basedOn w:val="DefaultParagraphFont"/>
    <w:link w:val="Quote"/>
    <w:uiPriority w:val="29"/>
    <w:rsid w:val="00A11AB6"/>
    <w:rPr>
      <w:i/>
      <w:iCs/>
      <w:color w:val="404040" w:themeColor="text1" w:themeTint="BF"/>
    </w:rPr>
  </w:style>
  <w:style w:type="paragraph" w:styleId="ListParagraph">
    <w:name w:val="List Paragraph"/>
    <w:basedOn w:val="Normal"/>
    <w:uiPriority w:val="34"/>
    <w:qFormat/>
    <w:rsid w:val="00A11AB6"/>
    <w:pPr>
      <w:ind w:left="720"/>
      <w:contextualSpacing/>
    </w:pPr>
  </w:style>
  <w:style w:type="character" w:styleId="IntenseEmphasis">
    <w:name w:val="Intense Emphasis"/>
    <w:basedOn w:val="DefaultParagraphFont"/>
    <w:uiPriority w:val="21"/>
    <w:qFormat/>
    <w:rsid w:val="00A11AB6"/>
    <w:rPr>
      <w:i/>
      <w:iCs/>
      <w:color w:val="2F5496" w:themeColor="accent1" w:themeShade="BF"/>
    </w:rPr>
  </w:style>
  <w:style w:type="paragraph" w:styleId="IntenseQuote">
    <w:name w:val="Intense Quote"/>
    <w:basedOn w:val="Normal"/>
    <w:next w:val="Normal"/>
    <w:link w:val="IntenseQuoteChar"/>
    <w:uiPriority w:val="30"/>
    <w:qFormat/>
    <w:rsid w:val="00A11A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11AB6"/>
    <w:rPr>
      <w:i/>
      <w:iCs/>
      <w:color w:val="2F5496" w:themeColor="accent1" w:themeShade="BF"/>
    </w:rPr>
  </w:style>
  <w:style w:type="character" w:styleId="IntenseReference">
    <w:name w:val="Intense Reference"/>
    <w:basedOn w:val="DefaultParagraphFont"/>
    <w:uiPriority w:val="32"/>
    <w:qFormat/>
    <w:rsid w:val="00A11AB6"/>
    <w:rPr>
      <w:b/>
      <w:bCs/>
      <w:smallCaps/>
      <w:color w:val="2F5496" w:themeColor="accent1" w:themeShade="BF"/>
      <w:spacing w:val="5"/>
    </w:rPr>
  </w:style>
  <w:style w:type="character" w:styleId="Hyperlink">
    <w:name w:val="Hyperlink"/>
    <w:basedOn w:val="DefaultParagraphFont"/>
    <w:uiPriority w:val="99"/>
    <w:unhideWhenUsed/>
    <w:rsid w:val="00A11AB6"/>
    <w:rPr>
      <w:color w:val="0563C1" w:themeColor="hyperlink"/>
      <w:u w:val="single"/>
    </w:rPr>
  </w:style>
  <w:style w:type="character" w:styleId="UnresolvedMention">
    <w:name w:val="Unresolved Mention"/>
    <w:basedOn w:val="DefaultParagraphFont"/>
    <w:uiPriority w:val="99"/>
    <w:semiHidden/>
    <w:unhideWhenUsed/>
    <w:rsid w:val="00A11A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s.mo/" TargetMode="External"/><Relationship Id="rId3" Type="http://schemas.openxmlformats.org/officeDocument/2006/relationships/webSettings" Target="webSettings.xml"/><Relationship Id="rId7" Type="http://schemas.openxmlformats.org/officeDocument/2006/relationships/hyperlink" Target="mailto:miles@mogop.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ellinger@ellingerlaw.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hyperlink" Target="mailto:info@mogop.org"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10</Pages>
  <Words>2827</Words>
  <Characters>16116</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Cyndia Haggard</dc:creator>
  <cp:keywords/>
  <dc:description/>
  <cp:lastModifiedBy>Cyndia Haggard</cp:lastModifiedBy>
  <cp:revision>1</cp:revision>
  <dcterms:created xsi:type="dcterms:W3CDTF">2026-10-08T16:34:00Z</dcterms:created>
  <dcterms:modified xsi:type="dcterms:W3CDTF">2026-10-08T17:07:00Z</dcterms:modified>
</cp:coreProperties>
</file>